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_RefHeading___Toc3852_2961332373"/>
    <w:bookmarkEnd w:id="0"/>
    <w:p w14:paraId="03E91DF9" w14:textId="77777777" w:rsidR="009609C5" w:rsidRDefault="00125319">
      <w:pPr>
        <w:pStyle w:val="Nzev"/>
      </w:pPr>
      <w:r>
        <w:fldChar w:fldCharType="begin"/>
      </w:r>
      <w:r>
        <w:instrText>TITLE</w:instrText>
      </w:r>
      <w:r>
        <w:fldChar w:fldCharType="separate"/>
      </w:r>
      <w:r>
        <w:t>Požadavky na dokumentaci</w:t>
      </w:r>
      <w:r>
        <w:fldChar w:fldCharType="end"/>
      </w:r>
    </w:p>
    <w:p w14:paraId="212F7DF3" w14:textId="77777777" w:rsidR="009609C5" w:rsidRDefault="009609C5">
      <w:pPr>
        <w:pStyle w:val="Zkladntext"/>
      </w:pPr>
    </w:p>
    <w:p w14:paraId="35FF985D" w14:textId="60713DE3" w:rsidR="009609C5" w:rsidRDefault="00125319">
      <w:pPr>
        <w:pStyle w:val="Podnadpis"/>
      </w:pPr>
      <w:r>
        <w:t>Minimální obsah dokument</w:t>
      </w:r>
      <w:r w:rsidR="006E1757">
        <w:t>ace</w:t>
      </w:r>
      <w:r>
        <w:t xml:space="preserve"> Informačního systému INFRA</w:t>
      </w:r>
      <w:r>
        <w:noBreakHyphen/>
        <w:t>FIM</w:t>
      </w:r>
    </w:p>
    <w:p w14:paraId="2984ED65" w14:textId="77777777" w:rsidR="009609C5" w:rsidRDefault="009609C5">
      <w:pPr>
        <w:pStyle w:val="Zkladntext"/>
      </w:pPr>
    </w:p>
    <w:p w14:paraId="6B940BB6" w14:textId="77777777" w:rsidR="009609C5" w:rsidRDefault="00125319">
      <w:pPr>
        <w:pStyle w:val="Podnadpis"/>
      </w:pPr>
      <w:r>
        <w:t xml:space="preserve">Příloha č. </w:t>
      </w:r>
      <w:r>
        <w:fldChar w:fldCharType="begin"/>
      </w:r>
      <w:r>
        <w:instrText>DOCPROPERTY "Priloha"</w:instrText>
      </w:r>
      <w:r>
        <w:fldChar w:fldCharType="separate"/>
      </w:r>
      <w:r>
        <w:t>2</w:t>
      </w:r>
      <w:r>
        <w:fldChar w:fldCharType="end"/>
      </w:r>
    </w:p>
    <w:p w14:paraId="29924505" w14:textId="77777777" w:rsidR="009609C5" w:rsidRDefault="009609C5">
      <w:pPr>
        <w:pStyle w:val="Zkladntext"/>
      </w:pPr>
    </w:p>
    <w:p w14:paraId="6B6EAD0D" w14:textId="77777777" w:rsidR="009609C5" w:rsidRDefault="009609C5">
      <w:pPr>
        <w:pStyle w:val="Zkladntext"/>
      </w:pPr>
    </w:p>
    <w:p w14:paraId="0FF1BC91" w14:textId="77777777" w:rsidR="009609C5" w:rsidRDefault="009609C5">
      <w:pPr>
        <w:pStyle w:val="Zkladntext"/>
      </w:pPr>
    </w:p>
    <w:p w14:paraId="47DBCF6E" w14:textId="77777777" w:rsidR="009609C5" w:rsidRDefault="009609C5">
      <w:pPr>
        <w:pStyle w:val="Zkladntext"/>
      </w:pPr>
    </w:p>
    <w:p w14:paraId="56B1971C" w14:textId="77777777" w:rsidR="009609C5" w:rsidRDefault="009609C5">
      <w:pPr>
        <w:pStyle w:val="Zkladntext"/>
      </w:pPr>
    </w:p>
    <w:p w14:paraId="75FEF971" w14:textId="77777777" w:rsidR="009609C5" w:rsidRDefault="009609C5">
      <w:pPr>
        <w:pStyle w:val="Zkladntext"/>
      </w:pPr>
    </w:p>
    <w:p w14:paraId="51B44FF2" w14:textId="77777777" w:rsidR="009609C5" w:rsidRDefault="009609C5">
      <w:pPr>
        <w:pStyle w:val="Zkladntext"/>
      </w:pPr>
    </w:p>
    <w:p w14:paraId="0D6BE656" w14:textId="77777777" w:rsidR="009609C5" w:rsidRDefault="009609C5">
      <w:pPr>
        <w:pStyle w:val="Zkladntext"/>
      </w:pPr>
    </w:p>
    <w:p w14:paraId="7F702889" w14:textId="77777777" w:rsidR="009609C5" w:rsidRDefault="009609C5">
      <w:pPr>
        <w:pStyle w:val="Zkladntext"/>
      </w:pPr>
    </w:p>
    <w:p w14:paraId="0CD011EC" w14:textId="77777777" w:rsidR="009609C5" w:rsidRDefault="009609C5">
      <w:pPr>
        <w:pStyle w:val="Zkladntext"/>
      </w:pPr>
    </w:p>
    <w:p w14:paraId="254C51D8" w14:textId="77777777" w:rsidR="009609C5" w:rsidRDefault="009609C5">
      <w:pPr>
        <w:pStyle w:val="Zkladntext"/>
      </w:pPr>
    </w:p>
    <w:p w14:paraId="7BEC8D67" w14:textId="77777777" w:rsidR="009609C5" w:rsidRDefault="009609C5">
      <w:pPr>
        <w:pStyle w:val="Zkladntext"/>
      </w:pPr>
    </w:p>
    <w:p w14:paraId="3CF9A2A0" w14:textId="77777777" w:rsidR="009609C5" w:rsidRDefault="009609C5">
      <w:pPr>
        <w:pStyle w:val="Zkladntext"/>
      </w:pPr>
    </w:p>
    <w:p w14:paraId="4FE0B7DB" w14:textId="77777777" w:rsidR="009609C5" w:rsidRDefault="009609C5">
      <w:pPr>
        <w:pStyle w:val="Zkladntext"/>
      </w:pPr>
    </w:p>
    <w:p w14:paraId="7AFA1D54" w14:textId="77777777" w:rsidR="009609C5" w:rsidRDefault="009609C5">
      <w:pPr>
        <w:pStyle w:val="Zkladntext"/>
      </w:pPr>
    </w:p>
    <w:p w14:paraId="6844185F" w14:textId="77777777" w:rsidR="009609C5" w:rsidRDefault="009609C5">
      <w:pPr>
        <w:pStyle w:val="Zkladntext"/>
      </w:pPr>
    </w:p>
    <w:p w14:paraId="1767F444" w14:textId="77777777" w:rsidR="009609C5" w:rsidRDefault="009609C5">
      <w:pPr>
        <w:pStyle w:val="Zkladntext"/>
      </w:pPr>
    </w:p>
    <w:p w14:paraId="0A12A2EF" w14:textId="77777777" w:rsidR="009609C5" w:rsidRDefault="009609C5">
      <w:pPr>
        <w:sectPr w:rsidR="009609C5">
          <w:footerReference w:type="default" r:id="rId7"/>
          <w:pgSz w:w="11906" w:h="16838"/>
          <w:pgMar w:top="1693" w:right="1134" w:bottom="2890" w:left="1134" w:header="0" w:footer="1693" w:gutter="0"/>
          <w:cols w:space="708"/>
          <w:formProt w:val="0"/>
          <w:docGrid w:linePitch="100"/>
        </w:sectPr>
      </w:pPr>
    </w:p>
    <w:sdt>
      <w:sdtPr>
        <w:rPr>
          <w:rFonts w:ascii="Liberation Serif" w:eastAsia="Noto Serif CJK SC" w:hAnsi="Liberation Serif"/>
          <w:b w:val="0"/>
          <w:bCs w:val="0"/>
          <w:sz w:val="24"/>
          <w:szCs w:val="24"/>
        </w:rPr>
        <w:id w:val="-1337533786"/>
        <w:docPartObj>
          <w:docPartGallery w:val="Table of Contents"/>
          <w:docPartUnique/>
        </w:docPartObj>
      </w:sdtPr>
      <w:sdtEndPr/>
      <w:sdtContent>
        <w:p w14:paraId="08015038" w14:textId="77777777" w:rsidR="009609C5" w:rsidRDefault="00125319">
          <w:pPr>
            <w:pStyle w:val="Hlavikaobsahu"/>
          </w:pPr>
          <w:r>
            <w:t xml:space="preserve">Table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Contents</w:t>
          </w:r>
          <w:proofErr w:type="spellEnd"/>
        </w:p>
        <w:p w14:paraId="2E5995C9" w14:textId="6DFD2E3F" w:rsidR="0008017C" w:rsidRDefault="00125319">
          <w:pPr>
            <w:pStyle w:val="Obsah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Toc158971949" w:history="1">
            <w:r w:rsidR="0008017C" w:rsidRPr="00A56750">
              <w:rPr>
                <w:rStyle w:val="Hypertextovodkaz"/>
                <w:noProof/>
              </w:rPr>
              <w:t>Struktura minimálního rozsahu dokumentace IS INFRA-FIM</w:t>
            </w:r>
            <w:r w:rsidR="0008017C">
              <w:rPr>
                <w:noProof/>
              </w:rPr>
              <w:tab/>
            </w:r>
            <w:r w:rsidR="0008017C">
              <w:rPr>
                <w:noProof/>
              </w:rPr>
              <w:fldChar w:fldCharType="begin"/>
            </w:r>
            <w:r w:rsidR="0008017C">
              <w:rPr>
                <w:noProof/>
              </w:rPr>
              <w:instrText xml:space="preserve"> PAGEREF _Toc158971949 \h </w:instrText>
            </w:r>
            <w:r w:rsidR="0008017C">
              <w:rPr>
                <w:noProof/>
              </w:rPr>
            </w:r>
            <w:r w:rsidR="0008017C">
              <w:rPr>
                <w:noProof/>
              </w:rPr>
              <w:fldChar w:fldCharType="separate"/>
            </w:r>
            <w:r w:rsidR="0008017C">
              <w:rPr>
                <w:noProof/>
              </w:rPr>
              <w:t>3</w:t>
            </w:r>
            <w:r w:rsidR="0008017C">
              <w:rPr>
                <w:noProof/>
              </w:rPr>
              <w:fldChar w:fldCharType="end"/>
            </w:r>
          </w:hyperlink>
        </w:p>
        <w:p w14:paraId="3DD3FA17" w14:textId="35608065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0" w:history="1">
            <w:r w:rsidRPr="00A56750">
              <w:rPr>
                <w:rStyle w:val="Hypertextovodkaz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Architektura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082E156E" w14:textId="546C3797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1" w:history="1">
            <w:r w:rsidRPr="00A56750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Funkcionality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6AF8E4F7" w14:textId="2721F68F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2" w:history="1">
            <w:r w:rsidRPr="00A56750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Datový model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6974C6EC" w14:textId="45E941F7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3" w:history="1">
            <w:r w:rsidRPr="00A56750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Administrátorská příručka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40003ADA" w14:textId="2D0F0A79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4" w:history="1">
            <w:r w:rsidRPr="00A56750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Uživatelská příručka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63DEA558" w14:textId="6B97ECBE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5" w:history="1">
            <w:r w:rsidRPr="00A56750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Migrace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6F7A0D3D" w14:textId="43246844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6" w:history="1">
            <w:r w:rsidRPr="00A56750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Nastavení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385AC90F" w14:textId="5EAA5FFD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7" w:history="1">
            <w:r w:rsidRPr="00A56750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Rozhraní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0DE00D82" w14:textId="75DB21D3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8" w:history="1">
            <w:r w:rsidRPr="00A56750">
              <w:rPr>
                <w:rStyle w:val="Hypertextovodkaz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Bezpečnost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772EB86" w14:textId="3BDC08DE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59" w:history="1">
            <w:r w:rsidRPr="00A56750">
              <w:rPr>
                <w:rStyle w:val="Hypertextovodkaz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Testování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_Toc158971959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3EC24F78" w14:textId="339B72B9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68" w:history="1">
            <w:r w:rsidRPr="00A56750">
              <w:rPr>
                <w:rStyle w:val="Hypertextovodkaz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Školení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_Toc158971968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3F6F75A0" w14:textId="198DFE0D" w:rsidR="0008017C" w:rsidRDefault="0008017C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1969" w:history="1">
            <w:r w:rsidRPr="00A56750">
              <w:rPr>
                <w:rStyle w:val="Hypertextovodkaz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A56750">
              <w:rPr>
                <w:rStyle w:val="Hypertextovodkaz"/>
                <w:noProof/>
              </w:rPr>
              <w:t>Licence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_Toc158971969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1EB940DB" w14:textId="0E40C4B0" w:rsidR="009609C5" w:rsidRDefault="00125319">
          <w:pPr>
            <w:pStyle w:val="Obsah3"/>
          </w:pPr>
          <w:r>
            <w:rPr>
              <w:rStyle w:val="IndexLink"/>
            </w:rPr>
            <w:fldChar w:fldCharType="end"/>
          </w:r>
        </w:p>
      </w:sdtContent>
    </w:sdt>
    <w:p w14:paraId="43F9CE2D" w14:textId="77777777" w:rsidR="009609C5" w:rsidRDefault="00125319">
      <w:pPr>
        <w:pStyle w:val="Zkladntext"/>
        <w:outlineLvl w:val="1"/>
      </w:pPr>
      <w:r>
        <w:br w:type="page"/>
      </w:r>
    </w:p>
    <w:p w14:paraId="61676C29" w14:textId="77777777" w:rsidR="009609C5" w:rsidRDefault="00125319">
      <w:pPr>
        <w:pStyle w:val="Nadpis2"/>
      </w:pPr>
      <w:bookmarkStart w:id="1" w:name="_Toc158971949"/>
      <w:r>
        <w:lastRenderedPageBreak/>
        <w:t>Struktura minimálního rozsahu dokumentace IS INFRA-FIM</w:t>
      </w:r>
      <w:bookmarkEnd w:id="1"/>
    </w:p>
    <w:p w14:paraId="57AD5C9A" w14:textId="6354A0E1" w:rsidR="009609C5" w:rsidRPr="0008017C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2" w:name="_Toc158971950"/>
      <w:r w:rsidRPr="0008017C">
        <w:t>Architektura</w:t>
      </w:r>
      <w:bookmarkEnd w:id="2"/>
    </w:p>
    <w:p w14:paraId="30C65584" w14:textId="77777777" w:rsidR="009609C5" w:rsidRDefault="00125319">
      <w:pPr>
        <w:pStyle w:val="Zkladntext"/>
        <w:numPr>
          <w:ilvl w:val="0"/>
          <w:numId w:val="11"/>
        </w:numPr>
      </w:pPr>
      <w:r>
        <w:t>Aplikační architektura</w:t>
      </w:r>
    </w:p>
    <w:p w14:paraId="43CB6D10" w14:textId="77777777" w:rsidR="009609C5" w:rsidRDefault="00125319">
      <w:pPr>
        <w:pStyle w:val="Zkladntext"/>
        <w:numPr>
          <w:ilvl w:val="0"/>
          <w:numId w:val="11"/>
        </w:numPr>
      </w:pPr>
      <w:r>
        <w:t>Komunikační architektura</w:t>
      </w:r>
    </w:p>
    <w:p w14:paraId="6E23DCEC" w14:textId="77777777" w:rsidR="009609C5" w:rsidRDefault="00125319">
      <w:pPr>
        <w:pStyle w:val="Zkladntext"/>
        <w:numPr>
          <w:ilvl w:val="0"/>
          <w:numId w:val="11"/>
        </w:numPr>
      </w:pPr>
      <w:r>
        <w:t>Návaznost na stávající architekturu a procesy provozované Objednatelem</w:t>
      </w:r>
    </w:p>
    <w:p w14:paraId="70DF28F7" w14:textId="77777777" w:rsidR="009609C5" w:rsidRDefault="00125319">
      <w:pPr>
        <w:pStyle w:val="Zkladntext"/>
        <w:numPr>
          <w:ilvl w:val="0"/>
          <w:numId w:val="11"/>
        </w:numPr>
      </w:pPr>
      <w:r>
        <w:t>Technická infrastruktura</w:t>
      </w:r>
    </w:p>
    <w:p w14:paraId="3C3386D7" w14:textId="77777777" w:rsidR="009609C5" w:rsidRDefault="00125319">
      <w:pPr>
        <w:pStyle w:val="Zkladntext"/>
        <w:numPr>
          <w:ilvl w:val="1"/>
          <w:numId w:val="11"/>
        </w:numPr>
      </w:pPr>
      <w:r>
        <w:t>Architektura infrastruktury</w:t>
      </w:r>
    </w:p>
    <w:p w14:paraId="1FC8AA5E" w14:textId="77777777" w:rsidR="009609C5" w:rsidRDefault="00125319">
      <w:pPr>
        <w:pStyle w:val="Zkladntext"/>
        <w:numPr>
          <w:ilvl w:val="1"/>
          <w:numId w:val="11"/>
        </w:numPr>
      </w:pPr>
      <w:r>
        <w:t>Popis provozních prostředí IS INFRA-FIM</w:t>
      </w:r>
    </w:p>
    <w:p w14:paraId="703C9DD4" w14:textId="77777777" w:rsidR="009609C5" w:rsidRDefault="00125319">
      <w:pPr>
        <w:pStyle w:val="Zkladntext"/>
        <w:numPr>
          <w:ilvl w:val="1"/>
          <w:numId w:val="11"/>
        </w:numPr>
      </w:pPr>
      <w:r>
        <w:t>Detailní specifikace infrastruktury a nezbytných technických prostředků</w:t>
      </w:r>
    </w:p>
    <w:p w14:paraId="607FCB5E" w14:textId="77777777" w:rsidR="009609C5" w:rsidRDefault="00125319">
      <w:pPr>
        <w:pStyle w:val="Zkladntext"/>
        <w:numPr>
          <w:ilvl w:val="1"/>
          <w:numId w:val="11"/>
        </w:numPr>
      </w:pPr>
      <w:r>
        <w:t>Požadavky na vybavení koncové stanice</w:t>
      </w:r>
    </w:p>
    <w:p w14:paraId="21A9D102" w14:textId="77777777" w:rsidR="009609C5" w:rsidRDefault="00125319">
      <w:pPr>
        <w:pStyle w:val="Zkladntext"/>
        <w:numPr>
          <w:ilvl w:val="1"/>
          <w:numId w:val="11"/>
        </w:numPr>
      </w:pPr>
      <w:r>
        <w:t>Technické předpoklady používání informačního systému</w:t>
      </w:r>
    </w:p>
    <w:p w14:paraId="0AC3F6DF" w14:textId="77777777" w:rsidR="009609C5" w:rsidRDefault="00125319">
      <w:pPr>
        <w:pStyle w:val="Zkladntext"/>
        <w:numPr>
          <w:ilvl w:val="1"/>
          <w:numId w:val="11"/>
        </w:numPr>
      </w:pPr>
      <w:r>
        <w:t>Způsob napojení na provozní procesy Objednatele:</w:t>
      </w:r>
    </w:p>
    <w:p w14:paraId="1AE284E2" w14:textId="77777777" w:rsidR="009609C5" w:rsidRDefault="00125319">
      <w:pPr>
        <w:pStyle w:val="Zkladntext"/>
        <w:numPr>
          <w:ilvl w:val="2"/>
          <w:numId w:val="11"/>
        </w:numPr>
      </w:pPr>
      <w:r>
        <w:t>Monitoring a logování</w:t>
      </w:r>
    </w:p>
    <w:p w14:paraId="7F108A98" w14:textId="77777777" w:rsidR="009609C5" w:rsidRDefault="00125319">
      <w:pPr>
        <w:pStyle w:val="Zkladntext"/>
        <w:numPr>
          <w:ilvl w:val="2"/>
          <w:numId w:val="11"/>
        </w:numPr>
      </w:pPr>
      <w:r>
        <w:t>Kontrola provozního stavu</w:t>
      </w:r>
    </w:p>
    <w:p w14:paraId="38A1E7C6" w14:textId="77777777" w:rsidR="009609C5" w:rsidRDefault="00125319">
      <w:pPr>
        <w:pStyle w:val="Zkladntext"/>
        <w:numPr>
          <w:ilvl w:val="2"/>
          <w:numId w:val="11"/>
        </w:numPr>
      </w:pPr>
      <w:r>
        <w:t xml:space="preserve">Definice zajištění vysoké dostupnosti s 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 </w:t>
      </w:r>
    </w:p>
    <w:p w14:paraId="364568D4" w14:textId="49349DB3" w:rsidR="009609C5" w:rsidRDefault="00125319">
      <w:pPr>
        <w:pStyle w:val="Zkladntext"/>
        <w:numPr>
          <w:ilvl w:val="2"/>
          <w:numId w:val="11"/>
        </w:numPr>
      </w:pPr>
      <w:r>
        <w:t>Zálohování a obnova</w:t>
      </w:r>
    </w:p>
    <w:p w14:paraId="0292B26C" w14:textId="1C6A9C18" w:rsidR="00F42F08" w:rsidRDefault="00F42F08" w:rsidP="00B578C9">
      <w:pPr>
        <w:pStyle w:val="Zkladntext"/>
        <w:ind w:left="1440"/>
      </w:pPr>
    </w:p>
    <w:p w14:paraId="1FD354F3" w14:textId="77777777" w:rsidR="009609C5" w:rsidRPr="0008017C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3" w:name="_Toc158971951"/>
      <w:r w:rsidRPr="0008017C">
        <w:t>Funkcionality</w:t>
      </w:r>
      <w:bookmarkEnd w:id="3"/>
    </w:p>
    <w:p w14:paraId="096EB025" w14:textId="77777777" w:rsidR="009609C5" w:rsidRDefault="00125319">
      <w:pPr>
        <w:pStyle w:val="Zkladntext"/>
        <w:numPr>
          <w:ilvl w:val="0"/>
          <w:numId w:val="11"/>
        </w:numPr>
      </w:pPr>
      <w:r>
        <w:t>Rámcový přehled realizovaných funkcionalit</w:t>
      </w:r>
    </w:p>
    <w:p w14:paraId="766821F4" w14:textId="77777777" w:rsidR="009609C5" w:rsidRDefault="00125319">
      <w:pPr>
        <w:pStyle w:val="Zkladntext"/>
        <w:numPr>
          <w:ilvl w:val="0"/>
          <w:numId w:val="11"/>
        </w:numPr>
      </w:pPr>
      <w:r>
        <w:t>Popis implementace požadovaných funkcionalit</w:t>
      </w:r>
    </w:p>
    <w:p w14:paraId="13EB756B" w14:textId="77777777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4" w:name="_Toc158971952"/>
      <w:r>
        <w:t>Datový model</w:t>
      </w:r>
      <w:bookmarkEnd w:id="4"/>
    </w:p>
    <w:p w14:paraId="4B045360" w14:textId="77777777" w:rsidR="009609C5" w:rsidRDefault="00125319">
      <w:pPr>
        <w:pStyle w:val="Zkladntext"/>
        <w:numPr>
          <w:ilvl w:val="0"/>
          <w:numId w:val="11"/>
        </w:numPr>
      </w:pPr>
      <w:r>
        <w:t>Seznam a popis datových objektů IS INFRA-FIM</w:t>
      </w:r>
    </w:p>
    <w:p w14:paraId="7FFF6AFA" w14:textId="77777777" w:rsidR="009609C5" w:rsidRDefault="00125319">
      <w:pPr>
        <w:pStyle w:val="Zkladntext"/>
        <w:numPr>
          <w:ilvl w:val="0"/>
          <w:numId w:val="11"/>
        </w:numPr>
      </w:pPr>
      <w:r>
        <w:t>Datový model včetně vazeb</w:t>
      </w:r>
    </w:p>
    <w:p w14:paraId="04B8089D" w14:textId="77777777" w:rsidR="009609C5" w:rsidRDefault="00125319">
      <w:pPr>
        <w:pStyle w:val="Zkladntext"/>
        <w:numPr>
          <w:ilvl w:val="0"/>
          <w:numId w:val="11"/>
        </w:numPr>
      </w:pPr>
      <w:r>
        <w:t>Objektový model</w:t>
      </w:r>
    </w:p>
    <w:p w14:paraId="232F1207" w14:textId="77777777" w:rsidR="009609C5" w:rsidRDefault="00125319">
      <w:pPr>
        <w:pStyle w:val="Zkladntext"/>
        <w:numPr>
          <w:ilvl w:val="0"/>
          <w:numId w:val="11"/>
        </w:numPr>
      </w:pPr>
      <w:proofErr w:type="spellStart"/>
      <w:r>
        <w:t>Metadata</w:t>
      </w:r>
      <w:proofErr w:type="spellEnd"/>
    </w:p>
    <w:p w14:paraId="5FD369B6" w14:textId="77777777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5" w:name="_Toc158971953"/>
      <w:r>
        <w:lastRenderedPageBreak/>
        <w:t>Administrátorská příručka</w:t>
      </w:r>
      <w:bookmarkEnd w:id="5"/>
    </w:p>
    <w:p w14:paraId="4C8B5CC8" w14:textId="77777777" w:rsidR="009609C5" w:rsidRDefault="00125319">
      <w:pPr>
        <w:pStyle w:val="Zkladntext"/>
      </w:pPr>
      <w:r>
        <w:t>Administrátorská příručka bude mimo jiné obsahovat zálohování, obnovu a restart.</w:t>
      </w:r>
    </w:p>
    <w:p w14:paraId="1973538E" w14:textId="77777777" w:rsidR="009609C5" w:rsidRDefault="00125319">
      <w:pPr>
        <w:pStyle w:val="Zkladntext"/>
      </w:pPr>
      <w:r>
        <w:t>Cíl dokumentu: popsat a zdokumentovat strategii zálohování systému, jakým způsobem, kdy, kam a jak často jsou zálohována data v rámci daného informačního systému a jakým způsobem se provádí obnova systému po havárii nebo ze zálohy, postupy a konkrétní kroky, které povedou k bezpečnému restartu systému.</w:t>
      </w:r>
    </w:p>
    <w:p w14:paraId="78591B77" w14:textId="77777777" w:rsidR="009609C5" w:rsidRDefault="00125319">
      <w:pPr>
        <w:pStyle w:val="Zkladntext"/>
      </w:pPr>
      <w:r>
        <w:t>Forma: může být i formou zálohovacího plánu (</w:t>
      </w:r>
      <w:proofErr w:type="spellStart"/>
      <w:r>
        <w:t>backup</w:t>
      </w:r>
      <w:proofErr w:type="spellEnd"/>
      <w:r>
        <w:t xml:space="preserve"> </w:t>
      </w:r>
      <w:proofErr w:type="spellStart"/>
      <w:r>
        <w:t>schedule</w:t>
      </w:r>
      <w:proofErr w:type="spellEnd"/>
      <w:r>
        <w:t xml:space="preserve">) a 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 plánu, textový popis, návodné obrázky, okomentované příkazy, </w:t>
      </w:r>
      <w:proofErr w:type="spellStart"/>
      <w:r>
        <w:t>apod</w:t>
      </w:r>
      <w:proofErr w:type="spellEnd"/>
    </w:p>
    <w:p w14:paraId="0D7F9CDE" w14:textId="77777777" w:rsidR="009609C5" w:rsidRDefault="00125319">
      <w:pPr>
        <w:pStyle w:val="Zkladntext"/>
        <w:numPr>
          <w:ilvl w:val="0"/>
          <w:numId w:val="13"/>
        </w:numPr>
      </w:pPr>
      <w:r>
        <w:t>Zálohování:</w:t>
      </w:r>
    </w:p>
    <w:p w14:paraId="73B1B534" w14:textId="77777777" w:rsidR="009609C5" w:rsidRDefault="00125319">
      <w:pPr>
        <w:pStyle w:val="Zkladntext"/>
        <w:numPr>
          <w:ilvl w:val="1"/>
          <w:numId w:val="13"/>
        </w:numPr>
      </w:pPr>
      <w:r>
        <w:t xml:space="preserve">Strategie zálohování systému navržená Dodavatelem </w:t>
      </w:r>
    </w:p>
    <w:p w14:paraId="038193D1" w14:textId="77777777" w:rsidR="009609C5" w:rsidRDefault="00125319">
      <w:pPr>
        <w:pStyle w:val="Zkladntext"/>
        <w:numPr>
          <w:ilvl w:val="1"/>
          <w:numId w:val="13"/>
        </w:numPr>
      </w:pPr>
      <w:r>
        <w:t xml:space="preserve">Způsob zálohování – plná, přírůstková, rozdílová záloha  </w:t>
      </w:r>
    </w:p>
    <w:p w14:paraId="1D105939" w14:textId="77777777" w:rsidR="009609C5" w:rsidRDefault="00125319">
      <w:pPr>
        <w:pStyle w:val="Zkladntext"/>
        <w:numPr>
          <w:ilvl w:val="1"/>
          <w:numId w:val="13"/>
        </w:numPr>
      </w:pPr>
      <w:r>
        <w:t xml:space="preserve">Kdy a jak často je záloha prováděna </w:t>
      </w:r>
    </w:p>
    <w:p w14:paraId="173B9E33" w14:textId="77777777" w:rsidR="009609C5" w:rsidRDefault="00125319">
      <w:pPr>
        <w:pStyle w:val="Zkladntext"/>
        <w:numPr>
          <w:ilvl w:val="1"/>
          <w:numId w:val="13"/>
        </w:numPr>
      </w:pPr>
      <w:r>
        <w:t xml:space="preserve">Jak dlouhou dobu jsou zálohy uloženy a kde </w:t>
      </w:r>
    </w:p>
    <w:p w14:paraId="6530D0BC" w14:textId="77777777" w:rsidR="009609C5" w:rsidRDefault="00125319">
      <w:pPr>
        <w:pStyle w:val="Zkladntext"/>
        <w:numPr>
          <w:ilvl w:val="1"/>
          <w:numId w:val="13"/>
        </w:numPr>
      </w:pPr>
      <w:r>
        <w:t>Jak často se provádí testování záloh</w:t>
      </w:r>
    </w:p>
    <w:p w14:paraId="1CC49DB5" w14:textId="77777777" w:rsidR="009609C5" w:rsidRDefault="00125319">
      <w:pPr>
        <w:pStyle w:val="Zkladntext"/>
        <w:numPr>
          <w:ilvl w:val="0"/>
          <w:numId w:val="13"/>
        </w:numPr>
      </w:pPr>
      <w:r>
        <w:t>Obnova</w:t>
      </w:r>
    </w:p>
    <w:p w14:paraId="3DE2E153" w14:textId="77777777" w:rsidR="009609C5" w:rsidRDefault="00125319" w:rsidP="00B578C9">
      <w:pPr>
        <w:pStyle w:val="Zkladntext"/>
        <w:numPr>
          <w:ilvl w:val="1"/>
          <w:numId w:val="13"/>
        </w:numPr>
        <w:jc w:val="both"/>
      </w:pPr>
      <w:r>
        <w:t>Posloupnost kroků (co a jak udělat), které je třeba provést pro obnovu systému nebo jeho části či dat ze zálohy do jeho plně funkčního stavu.</w:t>
      </w:r>
    </w:p>
    <w:p w14:paraId="43EB0C50" w14:textId="77777777" w:rsidR="009609C5" w:rsidRDefault="00125319" w:rsidP="00B578C9">
      <w:pPr>
        <w:pStyle w:val="Zkladntext"/>
        <w:numPr>
          <w:ilvl w:val="1"/>
          <w:numId w:val="13"/>
        </w:numPr>
        <w:jc w:val="both"/>
      </w:pPr>
      <w:r>
        <w:t xml:space="preserve">Zpracovaný 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 plán, tedy posloupnost kroků (co a jak udělat), které je třeba provést pro obnovu systému po jeho selhání do jeho plně funkčního stavu. </w:t>
      </w:r>
    </w:p>
    <w:p w14:paraId="2B4426C4" w14:textId="77777777" w:rsidR="009609C5" w:rsidRDefault="00125319" w:rsidP="00B578C9">
      <w:pPr>
        <w:pStyle w:val="Zkladntext"/>
        <w:numPr>
          <w:ilvl w:val="2"/>
          <w:numId w:val="13"/>
        </w:numPr>
        <w:jc w:val="both"/>
      </w:pPr>
      <w:r>
        <w:t xml:space="preserve">Včetně potřebných zdrojů, jako je např. SW, HW, přístupové údaje, data, parametry 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 </w:t>
      </w:r>
      <w:proofErr w:type="gramStart"/>
      <w:r>
        <w:t>prostředí,</w:t>
      </w:r>
      <w:proofErr w:type="gramEnd"/>
      <w:r>
        <w:t xml:space="preserve"> apod. </w:t>
      </w:r>
    </w:p>
    <w:p w14:paraId="708FEE8A" w14:textId="77777777" w:rsidR="009609C5" w:rsidRDefault="00125319" w:rsidP="00B578C9">
      <w:pPr>
        <w:pStyle w:val="Zkladntext"/>
        <w:numPr>
          <w:ilvl w:val="0"/>
          <w:numId w:val="13"/>
        </w:numPr>
        <w:jc w:val="both"/>
      </w:pPr>
      <w:r>
        <w:t>Restart</w:t>
      </w:r>
    </w:p>
    <w:p w14:paraId="5CBF0CF5" w14:textId="77777777" w:rsidR="009609C5" w:rsidRDefault="00125319" w:rsidP="00B578C9">
      <w:pPr>
        <w:pStyle w:val="Zkladntext"/>
        <w:numPr>
          <w:ilvl w:val="1"/>
          <w:numId w:val="13"/>
        </w:numPr>
        <w:jc w:val="both"/>
      </w:pPr>
      <w:r>
        <w:t>Posloupnost kroků (co a jak udělat), které je třeba provést pro bezpečné restartování systému tak, aby naběhl do původního stavu.</w:t>
      </w:r>
    </w:p>
    <w:p w14:paraId="2860F157" w14:textId="77777777" w:rsidR="009609C5" w:rsidRDefault="00125319" w:rsidP="00B578C9">
      <w:pPr>
        <w:pStyle w:val="Zkladntext"/>
        <w:numPr>
          <w:ilvl w:val="2"/>
          <w:numId w:val="13"/>
        </w:numPr>
        <w:jc w:val="both"/>
      </w:pPr>
      <w:r>
        <w:t xml:space="preserve">Např. informování uživatelů, ověření odhlášení všech uživatelů, provedení zálohy systému, restart systému (pořadí konkrétních procesů, </w:t>
      </w:r>
      <w:proofErr w:type="gramStart"/>
      <w:r>
        <w:t>služeb,</w:t>
      </w:r>
      <w:proofErr w:type="gramEnd"/>
      <w:r>
        <w:t xml:space="preserve"> apod.), způsob základní kontroly funkčnosti, výčet služeb, které je potřeba spustit/zkontrolovat, apod. </w:t>
      </w:r>
    </w:p>
    <w:p w14:paraId="2A176462" w14:textId="77777777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6" w:name="_Toc158971954"/>
      <w:r>
        <w:t>Uživatelská příručka</w:t>
      </w:r>
      <w:bookmarkEnd w:id="6"/>
    </w:p>
    <w:p w14:paraId="534F778B" w14:textId="003BE49B" w:rsidR="00066F7C" w:rsidRPr="0008017C" w:rsidRDefault="00066F7C" w:rsidP="00B578C9">
      <w:pPr>
        <w:pStyle w:val="Zkladntext"/>
      </w:pPr>
      <w:r>
        <w:t xml:space="preserve">INFRA FIM </w:t>
      </w:r>
      <w:proofErr w:type="gramStart"/>
      <w:r>
        <w:t xml:space="preserve">musí  </w:t>
      </w:r>
      <w:r w:rsidR="00B15A10">
        <w:t>disponovat</w:t>
      </w:r>
      <w:proofErr w:type="gramEnd"/>
      <w:r w:rsidR="00B15A10">
        <w:t xml:space="preserve"> nástrojem pro tvorbu a doplnění </w:t>
      </w:r>
      <w:r w:rsidR="00012B81">
        <w:t>uživatelských</w:t>
      </w:r>
      <w:r w:rsidR="00B15A10">
        <w:t xml:space="preserve"> </w:t>
      </w:r>
      <w:proofErr w:type="spellStart"/>
      <w:r w:rsidR="00B15A10">
        <w:t>helpů</w:t>
      </w:r>
      <w:proofErr w:type="spellEnd"/>
      <w:r w:rsidR="00B15A10">
        <w:t>, viz. Příloha Funkční specifikace</w:t>
      </w:r>
      <w:r>
        <w:t>.</w:t>
      </w:r>
    </w:p>
    <w:p w14:paraId="5E72CBE8" w14:textId="0B5E77CA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7" w:name="_Toc158971955"/>
      <w:r>
        <w:t>Migrace</w:t>
      </w:r>
      <w:bookmarkEnd w:id="7"/>
    </w:p>
    <w:p w14:paraId="750567FB" w14:textId="77777777" w:rsidR="009609C5" w:rsidRDefault="00125319">
      <w:pPr>
        <w:pStyle w:val="Zkladntext"/>
        <w:numPr>
          <w:ilvl w:val="0"/>
          <w:numId w:val="11"/>
        </w:numPr>
      </w:pPr>
      <w:r>
        <w:t>Migrace dat:</w:t>
      </w:r>
    </w:p>
    <w:p w14:paraId="6B730D2E" w14:textId="77777777" w:rsidR="009609C5" w:rsidRDefault="00125319">
      <w:pPr>
        <w:pStyle w:val="Zkladntext"/>
        <w:numPr>
          <w:ilvl w:val="1"/>
          <w:numId w:val="10"/>
        </w:numPr>
      </w:pPr>
      <w:r>
        <w:lastRenderedPageBreak/>
        <w:t>Koncept migrace dat</w:t>
      </w:r>
    </w:p>
    <w:p w14:paraId="37CD8770" w14:textId="77777777" w:rsidR="009609C5" w:rsidRDefault="00125319">
      <w:pPr>
        <w:pStyle w:val="Zkladntext"/>
        <w:numPr>
          <w:ilvl w:val="1"/>
          <w:numId w:val="10"/>
        </w:numPr>
      </w:pPr>
      <w:r>
        <w:t>Způsob migrace dat</w:t>
      </w:r>
    </w:p>
    <w:p w14:paraId="62D1928D" w14:textId="77777777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8" w:name="_Toc158971956"/>
      <w:r>
        <w:t>Nastavení</w:t>
      </w:r>
      <w:bookmarkEnd w:id="8"/>
    </w:p>
    <w:p w14:paraId="1CF01446" w14:textId="0179549C" w:rsidR="009609C5" w:rsidRDefault="00125319">
      <w:pPr>
        <w:pStyle w:val="Zkladntext"/>
        <w:numPr>
          <w:ilvl w:val="0"/>
          <w:numId w:val="12"/>
        </w:numPr>
      </w:pPr>
      <w:r>
        <w:t>Nastavení jednotlivých aplikací</w:t>
      </w:r>
    </w:p>
    <w:p w14:paraId="26AF9647" w14:textId="3B26ABAA" w:rsidR="006327D3" w:rsidRDefault="006327D3">
      <w:pPr>
        <w:pStyle w:val="Zkladntext"/>
        <w:numPr>
          <w:ilvl w:val="0"/>
          <w:numId w:val="12"/>
        </w:numPr>
      </w:pPr>
      <w:r>
        <w:t>Popsat vazbu IDM</w:t>
      </w:r>
    </w:p>
    <w:p w14:paraId="41468E3B" w14:textId="77777777" w:rsidR="009609C5" w:rsidRDefault="00125319">
      <w:pPr>
        <w:pStyle w:val="Zkladntext"/>
        <w:numPr>
          <w:ilvl w:val="0"/>
          <w:numId w:val="12"/>
        </w:numPr>
      </w:pPr>
      <w:r>
        <w:t>Uživatelské role a oprávnění do IS INFRA-FIM</w:t>
      </w:r>
    </w:p>
    <w:p w14:paraId="4ACB4E3E" w14:textId="77777777" w:rsidR="009609C5" w:rsidRDefault="00125319">
      <w:pPr>
        <w:pStyle w:val="Zkladntext"/>
        <w:numPr>
          <w:ilvl w:val="1"/>
          <w:numId w:val="2"/>
        </w:numPr>
      </w:pPr>
      <w:r>
        <w:t>Uživatelé</w:t>
      </w:r>
    </w:p>
    <w:p w14:paraId="74856E12" w14:textId="77777777" w:rsidR="009609C5" w:rsidRDefault="00125319">
      <w:pPr>
        <w:pStyle w:val="Zkladntext"/>
        <w:numPr>
          <w:ilvl w:val="1"/>
          <w:numId w:val="2"/>
        </w:numPr>
      </w:pPr>
      <w:r>
        <w:t>Administrátoři</w:t>
      </w:r>
    </w:p>
    <w:p w14:paraId="3DDCA8AB" w14:textId="77777777" w:rsidR="009609C5" w:rsidRDefault="00125319">
      <w:pPr>
        <w:pStyle w:val="Zkladntext"/>
        <w:numPr>
          <w:ilvl w:val="1"/>
          <w:numId w:val="2"/>
        </w:numPr>
      </w:pPr>
      <w:r>
        <w:t>Správce infrastruktury</w:t>
      </w:r>
    </w:p>
    <w:p w14:paraId="553F72F9" w14:textId="77777777" w:rsidR="009609C5" w:rsidRDefault="00125319">
      <w:pPr>
        <w:pStyle w:val="Zkladntext"/>
        <w:numPr>
          <w:ilvl w:val="1"/>
          <w:numId w:val="2"/>
        </w:numPr>
      </w:pPr>
      <w:r>
        <w:t>Systémové účty</w:t>
      </w:r>
    </w:p>
    <w:p w14:paraId="7E2AA5E7" w14:textId="77777777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9" w:name="_Toc158971957"/>
      <w:r>
        <w:t>Rozhraní</w:t>
      </w:r>
      <w:bookmarkEnd w:id="9"/>
    </w:p>
    <w:p w14:paraId="452B7AE4" w14:textId="77777777" w:rsidR="009609C5" w:rsidRDefault="00125319">
      <w:pPr>
        <w:pStyle w:val="Zkladntext"/>
        <w:numPr>
          <w:ilvl w:val="0"/>
          <w:numId w:val="2"/>
        </w:numPr>
      </w:pPr>
      <w:r>
        <w:t>Popis rozhraní pro výměnu dat</w:t>
      </w:r>
    </w:p>
    <w:p w14:paraId="30164CEE" w14:textId="77777777" w:rsidR="009609C5" w:rsidRDefault="00125319">
      <w:pPr>
        <w:pStyle w:val="Zkladntext"/>
        <w:numPr>
          <w:ilvl w:val="1"/>
          <w:numId w:val="3"/>
        </w:numPr>
      </w:pPr>
      <w:r>
        <w:t>Rozhraní ERP</w:t>
      </w:r>
    </w:p>
    <w:p w14:paraId="6292009A" w14:textId="77777777" w:rsidR="009609C5" w:rsidRDefault="00125319">
      <w:pPr>
        <w:pStyle w:val="Zkladntext"/>
        <w:numPr>
          <w:ilvl w:val="1"/>
          <w:numId w:val="3"/>
        </w:numPr>
      </w:pPr>
      <w:r>
        <w:t xml:space="preserve">Rozhraní </w:t>
      </w:r>
      <w:proofErr w:type="spellStart"/>
      <w:r>
        <w:t>ArcGIS</w:t>
      </w:r>
      <w:proofErr w:type="spellEnd"/>
    </w:p>
    <w:p w14:paraId="162E125A" w14:textId="77777777" w:rsidR="009609C5" w:rsidRDefault="00125319">
      <w:pPr>
        <w:pStyle w:val="Zkladntext"/>
        <w:numPr>
          <w:ilvl w:val="1"/>
          <w:numId w:val="3"/>
        </w:numPr>
      </w:pPr>
      <w:r>
        <w:t>Rozhraní DWH, BI</w:t>
      </w:r>
    </w:p>
    <w:p w14:paraId="0082CA96" w14:textId="77777777" w:rsidR="009609C5" w:rsidRDefault="00125319">
      <w:pPr>
        <w:pStyle w:val="Zkladntext"/>
        <w:numPr>
          <w:ilvl w:val="1"/>
          <w:numId w:val="3"/>
        </w:numPr>
      </w:pPr>
      <w:r>
        <w:t>Rozhraní BMS</w:t>
      </w:r>
    </w:p>
    <w:p w14:paraId="34A27F56" w14:textId="77777777" w:rsidR="009609C5" w:rsidRDefault="00125319">
      <w:pPr>
        <w:pStyle w:val="Zkladntext"/>
        <w:numPr>
          <w:ilvl w:val="1"/>
          <w:numId w:val="3"/>
        </w:numPr>
      </w:pPr>
      <w:r>
        <w:t>Rozhraní BNS</w:t>
      </w:r>
    </w:p>
    <w:p w14:paraId="58FBCB7A" w14:textId="77777777" w:rsidR="009609C5" w:rsidRDefault="00125319">
      <w:pPr>
        <w:pStyle w:val="Zkladntext"/>
        <w:numPr>
          <w:ilvl w:val="1"/>
          <w:numId w:val="3"/>
        </w:numPr>
      </w:pPr>
      <w:r>
        <w:t>Rozhraní EMA+</w:t>
      </w:r>
    </w:p>
    <w:p w14:paraId="4EB9E65E" w14:textId="77777777" w:rsidR="009609C5" w:rsidRDefault="00125319">
      <w:pPr>
        <w:pStyle w:val="Zkladntext"/>
        <w:numPr>
          <w:ilvl w:val="1"/>
          <w:numId w:val="3"/>
        </w:numPr>
      </w:pPr>
      <w:r>
        <w:t>Rozhraní T-WIST</w:t>
      </w:r>
    </w:p>
    <w:p w14:paraId="4CC77A9D" w14:textId="77777777" w:rsidR="009609C5" w:rsidRDefault="00125319">
      <w:pPr>
        <w:pStyle w:val="Zkladntext"/>
        <w:numPr>
          <w:ilvl w:val="1"/>
          <w:numId w:val="3"/>
        </w:numPr>
      </w:pPr>
      <w:r>
        <w:t>Rozhraní BIM/CDE</w:t>
      </w:r>
    </w:p>
    <w:p w14:paraId="1BB7CA67" w14:textId="77777777" w:rsidR="009609C5" w:rsidRDefault="00125319">
      <w:pPr>
        <w:pStyle w:val="Zkladntext"/>
        <w:numPr>
          <w:ilvl w:val="1"/>
          <w:numId w:val="3"/>
        </w:numPr>
      </w:pPr>
      <w:r>
        <w:t>Rozhraní IS DIS DTM</w:t>
      </w:r>
    </w:p>
    <w:p w14:paraId="74DCA470" w14:textId="77777777" w:rsidR="009609C5" w:rsidRDefault="00125319">
      <w:pPr>
        <w:pStyle w:val="Zkladntext"/>
        <w:numPr>
          <w:ilvl w:val="1"/>
          <w:numId w:val="3"/>
        </w:numPr>
      </w:pPr>
      <w:r>
        <w:t>Rozhraní ISKN</w:t>
      </w:r>
    </w:p>
    <w:p w14:paraId="4F9D406B" w14:textId="77777777" w:rsidR="009609C5" w:rsidRDefault="00125319">
      <w:pPr>
        <w:pStyle w:val="Zkladntext"/>
        <w:numPr>
          <w:ilvl w:val="1"/>
          <w:numId w:val="3"/>
        </w:numPr>
      </w:pPr>
      <w:r>
        <w:t>Rozhraní ULS</w:t>
      </w:r>
    </w:p>
    <w:p w14:paraId="5EBD19B8" w14:textId="77777777" w:rsidR="009609C5" w:rsidRDefault="00125319">
      <w:pPr>
        <w:pStyle w:val="Zkladntext"/>
        <w:numPr>
          <w:ilvl w:val="1"/>
          <w:numId w:val="3"/>
        </w:numPr>
      </w:pPr>
      <w:r>
        <w:t>Rozhraní Projektové řízení</w:t>
      </w:r>
    </w:p>
    <w:p w14:paraId="17908150" w14:textId="77777777" w:rsidR="009609C5" w:rsidRDefault="00125319">
      <w:pPr>
        <w:pStyle w:val="Zkladntext"/>
        <w:numPr>
          <w:ilvl w:val="1"/>
          <w:numId w:val="3"/>
        </w:numPr>
      </w:pPr>
      <w:r>
        <w:t>Rozhraní SMTP</w:t>
      </w:r>
    </w:p>
    <w:p w14:paraId="1DBD88E5" w14:textId="77777777" w:rsidR="009609C5" w:rsidRDefault="00125319">
      <w:pPr>
        <w:pStyle w:val="Zkladntext"/>
        <w:numPr>
          <w:ilvl w:val="1"/>
          <w:numId w:val="3"/>
        </w:numPr>
      </w:pPr>
      <w:r>
        <w:t>Rozhraní Kamery, foto</w:t>
      </w:r>
    </w:p>
    <w:p w14:paraId="0B3980D4" w14:textId="77777777" w:rsidR="009609C5" w:rsidRDefault="00125319">
      <w:pPr>
        <w:pStyle w:val="Zkladntext"/>
        <w:numPr>
          <w:ilvl w:val="1"/>
          <w:numId w:val="3"/>
        </w:numPr>
      </w:pPr>
      <w:r>
        <w:t>Rozhraní SIEM</w:t>
      </w:r>
    </w:p>
    <w:p w14:paraId="380FEB01" w14:textId="77777777" w:rsidR="009609C5" w:rsidRDefault="00125319">
      <w:pPr>
        <w:pStyle w:val="Zkladntext"/>
        <w:numPr>
          <w:ilvl w:val="1"/>
          <w:numId w:val="3"/>
        </w:numPr>
      </w:pPr>
      <w:r>
        <w:t xml:space="preserve">Rozhraní </w:t>
      </w:r>
      <w:proofErr w:type="spellStart"/>
      <w:r>
        <w:t>Meteohlásky</w:t>
      </w:r>
      <w:proofErr w:type="spellEnd"/>
    </w:p>
    <w:p w14:paraId="55B762B9" w14:textId="3D4CE88A" w:rsidR="009609C5" w:rsidRDefault="00125319">
      <w:pPr>
        <w:pStyle w:val="Zkladntext"/>
        <w:numPr>
          <w:ilvl w:val="1"/>
          <w:numId w:val="3"/>
        </w:numPr>
      </w:pPr>
      <w:r>
        <w:lastRenderedPageBreak/>
        <w:t>I</w:t>
      </w:r>
      <w:r w:rsidR="006E1757">
        <w:t>D</w:t>
      </w:r>
      <w:r>
        <w:t>M</w:t>
      </w:r>
    </w:p>
    <w:p w14:paraId="7753397B" w14:textId="77777777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10" w:name="_Toc158971958"/>
      <w:r>
        <w:t>Bezpečnost</w:t>
      </w:r>
      <w:bookmarkEnd w:id="10"/>
    </w:p>
    <w:p w14:paraId="4ED12190" w14:textId="77777777" w:rsidR="009609C5" w:rsidRDefault="00125319">
      <w:pPr>
        <w:pStyle w:val="Zkladntext"/>
        <w:numPr>
          <w:ilvl w:val="0"/>
          <w:numId w:val="3"/>
        </w:numPr>
      </w:pPr>
      <w:r>
        <w:t>Bezpečnost IS</w:t>
      </w:r>
    </w:p>
    <w:p w14:paraId="48017125" w14:textId="77777777" w:rsidR="009609C5" w:rsidRDefault="00125319">
      <w:pPr>
        <w:pStyle w:val="Zkladntext"/>
        <w:numPr>
          <w:ilvl w:val="1"/>
          <w:numId w:val="4"/>
        </w:numPr>
      </w:pPr>
      <w:r>
        <w:t>Autentizace uživatele</w:t>
      </w:r>
    </w:p>
    <w:p w14:paraId="7A5E7E7E" w14:textId="77777777" w:rsidR="009609C5" w:rsidRDefault="00125319">
      <w:pPr>
        <w:pStyle w:val="Zkladntext"/>
        <w:numPr>
          <w:ilvl w:val="1"/>
          <w:numId w:val="4"/>
        </w:numPr>
      </w:pPr>
      <w:r>
        <w:t>Autorizace uživatele</w:t>
      </w:r>
    </w:p>
    <w:p w14:paraId="162790C0" w14:textId="77777777" w:rsidR="009609C5" w:rsidRDefault="00125319">
      <w:pPr>
        <w:pStyle w:val="Zkladntext"/>
        <w:numPr>
          <w:ilvl w:val="1"/>
          <w:numId w:val="4"/>
        </w:numPr>
      </w:pPr>
      <w:r>
        <w:t>Zabezpečení komunikace</w:t>
      </w:r>
    </w:p>
    <w:p w14:paraId="06E8DBA9" w14:textId="2B3CEE45" w:rsidR="009609C5" w:rsidRDefault="00125319">
      <w:pPr>
        <w:pStyle w:val="Zkladntext"/>
        <w:numPr>
          <w:ilvl w:val="1"/>
          <w:numId w:val="4"/>
        </w:numPr>
      </w:pPr>
      <w:r>
        <w:t>Zabezpečení uložení dat</w:t>
      </w:r>
    </w:p>
    <w:p w14:paraId="5B8D9825" w14:textId="2B00E3A2" w:rsidR="00B86194" w:rsidRDefault="00B86194">
      <w:pPr>
        <w:pStyle w:val="Zkladntext"/>
        <w:numPr>
          <w:ilvl w:val="1"/>
          <w:numId w:val="4"/>
        </w:numPr>
      </w:pPr>
      <w:r>
        <w:t>Logování událostí</w:t>
      </w:r>
    </w:p>
    <w:p w14:paraId="5C297D2A" w14:textId="5063D8CE" w:rsidR="00B86194" w:rsidRDefault="00B86194">
      <w:pPr>
        <w:pStyle w:val="Zkladntext"/>
        <w:numPr>
          <w:ilvl w:val="1"/>
          <w:numId w:val="4"/>
        </w:numPr>
      </w:pPr>
      <w:r>
        <w:t>Doporučená nastavení aplikační ochrany (pravidla pro WAF)</w:t>
      </w:r>
    </w:p>
    <w:p w14:paraId="2E3FA7EE" w14:textId="77777777" w:rsidR="009609C5" w:rsidRDefault="00125319">
      <w:pPr>
        <w:pStyle w:val="Zkladntext"/>
        <w:numPr>
          <w:ilvl w:val="0"/>
          <w:numId w:val="4"/>
        </w:numPr>
      </w:pPr>
      <w:proofErr w:type="spellStart"/>
      <w:r>
        <w:rPr>
          <w:color w:val="000000"/>
        </w:rPr>
        <w:t>Anonymizace</w:t>
      </w:r>
      <w:proofErr w:type="spellEnd"/>
      <w:r>
        <w:t xml:space="preserve"> vybraných atributů</w:t>
      </w:r>
    </w:p>
    <w:p w14:paraId="5B1A1E84" w14:textId="1DFDBC32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11" w:name="_Toc158971959"/>
      <w:r>
        <w:t>Testování</w:t>
      </w:r>
      <w:bookmarkEnd w:id="11"/>
    </w:p>
    <w:p w14:paraId="14118B9E" w14:textId="77777777" w:rsidR="009609C5" w:rsidRDefault="00125319">
      <w:pPr>
        <w:pStyle w:val="Zkladntext"/>
        <w:numPr>
          <w:ilvl w:val="0"/>
          <w:numId w:val="5"/>
        </w:numPr>
      </w:pPr>
      <w:r>
        <w:t>Testování</w:t>
      </w:r>
    </w:p>
    <w:p w14:paraId="0025E1D4" w14:textId="77777777" w:rsidR="009609C5" w:rsidRDefault="00125319">
      <w:pPr>
        <w:pStyle w:val="Zkladntext"/>
        <w:numPr>
          <w:ilvl w:val="1"/>
          <w:numId w:val="6"/>
        </w:numPr>
      </w:pPr>
      <w:r>
        <w:t>Koncepce testování</w:t>
      </w:r>
    </w:p>
    <w:p w14:paraId="485522AF" w14:textId="77777777" w:rsidR="009609C5" w:rsidRDefault="00125319">
      <w:pPr>
        <w:pStyle w:val="Zkladntext"/>
        <w:numPr>
          <w:ilvl w:val="2"/>
          <w:numId w:val="6"/>
        </w:numPr>
      </w:pPr>
      <w:r>
        <w:t xml:space="preserve">Způsob testování infrastruktury </w:t>
      </w:r>
    </w:p>
    <w:p w14:paraId="052074E9" w14:textId="77777777" w:rsidR="009609C5" w:rsidRDefault="00125319">
      <w:pPr>
        <w:pStyle w:val="Zkladntext"/>
        <w:numPr>
          <w:ilvl w:val="2"/>
          <w:numId w:val="6"/>
        </w:numPr>
      </w:pPr>
      <w:r>
        <w:t>Způsob testování funkčnosti aplikace</w:t>
      </w:r>
    </w:p>
    <w:p w14:paraId="4931CEA2" w14:textId="77777777" w:rsidR="009609C5" w:rsidRDefault="00125319">
      <w:pPr>
        <w:pStyle w:val="Zkladntext"/>
        <w:numPr>
          <w:ilvl w:val="2"/>
          <w:numId w:val="6"/>
        </w:numPr>
      </w:pPr>
      <w:r>
        <w:t>Způsob testování jednotlivých komunikačních rozhraní</w:t>
      </w:r>
    </w:p>
    <w:p w14:paraId="16D0FB57" w14:textId="77777777" w:rsidR="009609C5" w:rsidRDefault="00125319">
      <w:pPr>
        <w:pStyle w:val="Zkladntext"/>
        <w:numPr>
          <w:ilvl w:val="1"/>
          <w:numId w:val="6"/>
        </w:numPr>
      </w:pPr>
      <w:r>
        <w:t>Testovací scénáře pro jednotlivé rozsahy</w:t>
      </w:r>
    </w:p>
    <w:p w14:paraId="6A46EDF4" w14:textId="77777777" w:rsidR="009609C5" w:rsidRDefault="00125319">
      <w:pPr>
        <w:pStyle w:val="Zkladntext"/>
        <w:numPr>
          <w:ilvl w:val="1"/>
          <w:numId w:val="6"/>
        </w:numPr>
      </w:pPr>
      <w:r>
        <w:t>Nezávislé bezpečnostní testy</w:t>
      </w:r>
    </w:p>
    <w:p w14:paraId="3E239011" w14:textId="77777777" w:rsidR="009609C5" w:rsidRDefault="00125319">
      <w:pPr>
        <w:pStyle w:val="Zkladntext"/>
        <w:numPr>
          <w:ilvl w:val="1"/>
          <w:numId w:val="6"/>
        </w:numPr>
      </w:pPr>
      <w:r>
        <w:t>Kritéria úspěšnosti jednotlivých testů</w:t>
      </w:r>
    </w:p>
    <w:p w14:paraId="47D4F80E" w14:textId="77777777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12" w:name="_Toc158971927"/>
      <w:bookmarkStart w:id="13" w:name="_Toc158971960"/>
      <w:bookmarkStart w:id="14" w:name="_Toc158971928"/>
      <w:bookmarkStart w:id="15" w:name="_Toc158971961"/>
      <w:bookmarkStart w:id="16" w:name="_Toc158971929"/>
      <w:bookmarkStart w:id="17" w:name="_Toc158971962"/>
      <w:bookmarkStart w:id="18" w:name="_Toc158971930"/>
      <w:bookmarkStart w:id="19" w:name="_Toc158971963"/>
      <w:bookmarkStart w:id="20" w:name="_Toc158971931"/>
      <w:bookmarkStart w:id="21" w:name="_Toc158971964"/>
      <w:bookmarkStart w:id="22" w:name="_Toc158971932"/>
      <w:bookmarkStart w:id="23" w:name="_Toc158971965"/>
      <w:bookmarkStart w:id="24" w:name="_Toc158971933"/>
      <w:bookmarkStart w:id="25" w:name="_Toc158971966"/>
      <w:bookmarkStart w:id="26" w:name="_Toc158971934"/>
      <w:bookmarkStart w:id="27" w:name="_Toc158971967"/>
      <w:bookmarkStart w:id="28" w:name="_Toc158971968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t>Školení</w:t>
      </w:r>
      <w:bookmarkEnd w:id="28"/>
    </w:p>
    <w:p w14:paraId="503D0BAC" w14:textId="77777777" w:rsidR="009609C5" w:rsidRDefault="00125319">
      <w:pPr>
        <w:pStyle w:val="Zkladntext"/>
        <w:numPr>
          <w:ilvl w:val="0"/>
          <w:numId w:val="6"/>
        </w:numPr>
      </w:pPr>
      <w:r>
        <w:t>Školení</w:t>
      </w:r>
    </w:p>
    <w:p w14:paraId="50F5B67A" w14:textId="77777777" w:rsidR="009609C5" w:rsidRDefault="00125319">
      <w:pPr>
        <w:pStyle w:val="Zkladntext"/>
        <w:numPr>
          <w:ilvl w:val="1"/>
          <w:numId w:val="7"/>
        </w:numPr>
      </w:pPr>
      <w:r>
        <w:t>Typy školení</w:t>
      </w:r>
    </w:p>
    <w:p w14:paraId="7D663CDC" w14:textId="77777777" w:rsidR="009609C5" w:rsidRDefault="00125319">
      <w:pPr>
        <w:pStyle w:val="Zkladntext"/>
        <w:numPr>
          <w:ilvl w:val="1"/>
          <w:numId w:val="7"/>
        </w:numPr>
      </w:pPr>
      <w:r>
        <w:t>Školicí plán</w:t>
      </w:r>
    </w:p>
    <w:p w14:paraId="5639BC41" w14:textId="77777777" w:rsidR="009609C5" w:rsidRDefault="00125319">
      <w:pPr>
        <w:pStyle w:val="Zkladntext"/>
        <w:numPr>
          <w:ilvl w:val="1"/>
          <w:numId w:val="7"/>
        </w:numPr>
      </w:pPr>
      <w:r>
        <w:t>Požadavky na zajištění školení</w:t>
      </w:r>
    </w:p>
    <w:p w14:paraId="7FF7FF06" w14:textId="77777777" w:rsidR="009609C5" w:rsidRDefault="00125319" w:rsidP="00B578C9">
      <w:pPr>
        <w:pStyle w:val="Nadpis3"/>
        <w:numPr>
          <w:ilvl w:val="2"/>
          <w:numId w:val="15"/>
        </w:numPr>
        <w:tabs>
          <w:tab w:val="clear" w:pos="0"/>
          <w:tab w:val="num" w:pos="567"/>
        </w:tabs>
        <w:ind w:left="142" w:hanging="142"/>
      </w:pPr>
      <w:bookmarkStart w:id="29" w:name="_Toc158971969"/>
      <w:r>
        <w:t>Licence</w:t>
      </w:r>
      <w:bookmarkEnd w:id="29"/>
    </w:p>
    <w:p w14:paraId="67FF7B38" w14:textId="77777777" w:rsidR="009609C5" w:rsidRDefault="00125319">
      <w:pPr>
        <w:pStyle w:val="Zkladntext"/>
        <w:numPr>
          <w:ilvl w:val="0"/>
          <w:numId w:val="7"/>
        </w:numPr>
      </w:pPr>
      <w:r>
        <w:t>Licence</w:t>
      </w:r>
    </w:p>
    <w:p w14:paraId="4F26FEDE" w14:textId="77777777" w:rsidR="009609C5" w:rsidRDefault="00125319">
      <w:pPr>
        <w:pStyle w:val="Zkladntext"/>
        <w:numPr>
          <w:ilvl w:val="1"/>
          <w:numId w:val="8"/>
        </w:numPr>
      </w:pPr>
      <w:r>
        <w:t>Specifikace software</w:t>
      </w:r>
    </w:p>
    <w:p w14:paraId="260C573A" w14:textId="77777777" w:rsidR="009609C5" w:rsidRDefault="00125319">
      <w:pPr>
        <w:pStyle w:val="Zkladntext"/>
        <w:numPr>
          <w:ilvl w:val="1"/>
          <w:numId w:val="8"/>
        </w:numPr>
      </w:pPr>
      <w:r>
        <w:t xml:space="preserve">Detailní specifikace licencí </w:t>
      </w:r>
    </w:p>
    <w:p w14:paraId="427B17F9" w14:textId="77777777" w:rsidR="009609C5" w:rsidRDefault="00125319" w:rsidP="00B578C9">
      <w:pPr>
        <w:pStyle w:val="Zkladntext"/>
        <w:numPr>
          <w:ilvl w:val="1"/>
          <w:numId w:val="9"/>
        </w:numPr>
        <w:jc w:val="both"/>
      </w:pPr>
      <w:bookmarkStart w:id="30" w:name="_GoBack"/>
      <w:r>
        <w:lastRenderedPageBreak/>
        <w:t>Specifikace licencí, včetně jejich počtu a druhu, k dodávanému komerčně i volně dostupnému software, potřebných k zajištění požadovaných funkcionalit IS INFRA</w:t>
      </w:r>
      <w:r>
        <w:noBreakHyphen/>
        <w:t>FIM</w:t>
      </w:r>
    </w:p>
    <w:p w14:paraId="07538560" w14:textId="77777777" w:rsidR="009609C5" w:rsidRDefault="00125319" w:rsidP="00B578C9">
      <w:pPr>
        <w:pStyle w:val="Zkladntext"/>
        <w:numPr>
          <w:ilvl w:val="1"/>
          <w:numId w:val="9"/>
        </w:numPr>
        <w:jc w:val="both"/>
      </w:pPr>
      <w:r>
        <w:t xml:space="preserve">Detailní specifikace </w:t>
      </w:r>
      <w:proofErr w:type="spellStart"/>
      <w:r>
        <w:t>maintenance</w:t>
      </w:r>
      <w:proofErr w:type="spellEnd"/>
      <w:r>
        <w:t xml:space="preserve"> </w:t>
      </w:r>
    </w:p>
    <w:bookmarkEnd w:id="30"/>
    <w:p w14:paraId="2A306627" w14:textId="77777777" w:rsidR="009609C5" w:rsidRDefault="00125319">
      <w:pPr>
        <w:pStyle w:val="Zkladntext"/>
        <w:numPr>
          <w:ilvl w:val="1"/>
          <w:numId w:val="9"/>
        </w:numPr>
      </w:pPr>
      <w:r>
        <w:t>Seznam subskripcí včetně ceny za odpovídající licenci ()</w:t>
      </w:r>
    </w:p>
    <w:p w14:paraId="1DCBBB70" w14:textId="77777777" w:rsidR="009609C5" w:rsidRDefault="009609C5">
      <w:pPr>
        <w:pStyle w:val="Zkladntext"/>
      </w:pPr>
    </w:p>
    <w:p w14:paraId="2BE2864A" w14:textId="77777777" w:rsidR="009609C5" w:rsidRDefault="009609C5">
      <w:pPr>
        <w:pStyle w:val="Zkladntext"/>
      </w:pPr>
    </w:p>
    <w:sectPr w:rsidR="009609C5">
      <w:headerReference w:type="default" r:id="rId8"/>
      <w:footerReference w:type="default" r:id="rId9"/>
      <w:pgSz w:w="11906" w:h="16838"/>
      <w:pgMar w:top="1693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06E69" w14:textId="77777777" w:rsidR="006F481A" w:rsidRDefault="006F481A">
      <w:r>
        <w:separator/>
      </w:r>
    </w:p>
  </w:endnote>
  <w:endnote w:type="continuationSeparator" w:id="0">
    <w:p w14:paraId="70835ED2" w14:textId="77777777" w:rsidR="006F481A" w:rsidRDefault="006F4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98989" w14:textId="77777777" w:rsidR="009609C5" w:rsidRDefault="00125319">
    <w:pPr>
      <w:pStyle w:val="Zkladntext"/>
    </w:pPr>
    <w:r>
      <w:t>Krajská správa a údržba silnic Vysočiny, příspěvková organizace, IČO 00090450, DIČ CZ00090450</w:t>
    </w:r>
  </w:p>
  <w:p w14:paraId="2AADFCBA" w14:textId="77777777" w:rsidR="009609C5" w:rsidRDefault="00125319">
    <w:pPr>
      <w:pStyle w:val="Zkladntext"/>
    </w:pPr>
    <w:r>
      <w:t xml:space="preserve">Verze </w:t>
    </w:r>
    <w:r>
      <w:fldChar w:fldCharType="begin"/>
    </w:r>
    <w:r>
      <w:instrText>DOCPROPERTY "Version"</w:instrText>
    </w:r>
    <w:r>
      <w:fldChar w:fldCharType="separate"/>
    </w:r>
    <w:r>
      <w:t>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A109B" w14:textId="4D4602CE" w:rsidR="009609C5" w:rsidRDefault="00125319">
    <w:pPr>
      <w:pStyle w:val="Zpat"/>
    </w:pPr>
    <w:r>
      <w:tab/>
    </w:r>
    <w:r>
      <w:fldChar w:fldCharType="begin"/>
    </w:r>
    <w:r>
      <w:instrText>PAGE</w:instrText>
    </w:r>
    <w:r>
      <w:fldChar w:fldCharType="separate"/>
    </w:r>
    <w:r w:rsidR="00012B81">
      <w:rPr>
        <w:noProof/>
      </w:rPr>
      <w:t>3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012B81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0D2AB" w14:textId="77777777" w:rsidR="006F481A" w:rsidRDefault="006F481A">
      <w:r>
        <w:separator/>
      </w:r>
    </w:p>
  </w:footnote>
  <w:footnote w:type="continuationSeparator" w:id="0">
    <w:p w14:paraId="62253C78" w14:textId="77777777" w:rsidR="006F481A" w:rsidRDefault="006F4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4D079" w14:textId="77777777" w:rsidR="009609C5" w:rsidRDefault="00125319">
    <w:pPr>
      <w:pStyle w:val="Zhlav"/>
    </w:pPr>
    <w:r>
      <w:fldChar w:fldCharType="begin"/>
    </w:r>
    <w:r>
      <w:instrText>TITLE</w:instrText>
    </w:r>
    <w:r>
      <w:fldChar w:fldCharType="separate"/>
    </w:r>
    <w:r>
      <w:t>Požadavky na dokumentaci</w:t>
    </w:r>
    <w:r>
      <w:fldChar w:fldCharType="end"/>
    </w:r>
    <w:r>
      <w:tab/>
    </w:r>
    <w:r>
      <w:tab/>
    </w:r>
    <w:r>
      <w:fldChar w:fldCharType="begin"/>
    </w:r>
    <w:r>
      <w:instrText>DOCPROPERTY "Ovner"</w:instrText>
    </w:r>
    <w:r>
      <w:fldChar w:fldCharType="separate"/>
    </w:r>
    <w:r>
      <w:t>KSUSV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33C2A"/>
    <w:multiLevelType w:val="multilevel"/>
    <w:tmpl w:val="8E7E1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E464474"/>
    <w:multiLevelType w:val="multilevel"/>
    <w:tmpl w:val="9E2C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2FE305C"/>
    <w:multiLevelType w:val="multilevel"/>
    <w:tmpl w:val="F3EC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E9664B9"/>
    <w:multiLevelType w:val="multilevel"/>
    <w:tmpl w:val="9528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14C752F"/>
    <w:multiLevelType w:val="multilevel"/>
    <w:tmpl w:val="C03C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65C2D52"/>
    <w:multiLevelType w:val="multilevel"/>
    <w:tmpl w:val="DF6A6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298777A"/>
    <w:multiLevelType w:val="multilevel"/>
    <w:tmpl w:val="8A60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4232CC9"/>
    <w:multiLevelType w:val="multilevel"/>
    <w:tmpl w:val="AE80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4653142B"/>
    <w:multiLevelType w:val="multilevel"/>
    <w:tmpl w:val="B8623486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F3F5827"/>
    <w:multiLevelType w:val="multilevel"/>
    <w:tmpl w:val="4448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54B912D1"/>
    <w:multiLevelType w:val="multilevel"/>
    <w:tmpl w:val="01FA3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57790AA7"/>
    <w:multiLevelType w:val="multilevel"/>
    <w:tmpl w:val="BC12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609A37F8"/>
    <w:multiLevelType w:val="multilevel"/>
    <w:tmpl w:val="DB3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6CB651E3"/>
    <w:multiLevelType w:val="multilevel"/>
    <w:tmpl w:val="55BC83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D2B5AB7"/>
    <w:multiLevelType w:val="multilevel"/>
    <w:tmpl w:val="B232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11"/>
  </w:num>
  <w:num w:numId="10">
    <w:abstractNumId w:val="14"/>
  </w:num>
  <w:num w:numId="11">
    <w:abstractNumId w:val="1"/>
  </w:num>
  <w:num w:numId="12">
    <w:abstractNumId w:val="12"/>
  </w:num>
  <w:num w:numId="13">
    <w:abstractNumId w:val="4"/>
  </w:num>
  <w:num w:numId="14">
    <w:abstractNumId w:val="6"/>
  </w:num>
  <w:num w:numId="15">
    <w:abstractNumId w:val="13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9C5"/>
    <w:rsid w:val="00012B81"/>
    <w:rsid w:val="00066F7C"/>
    <w:rsid w:val="0008017C"/>
    <w:rsid w:val="000E0620"/>
    <w:rsid w:val="00125319"/>
    <w:rsid w:val="001525AB"/>
    <w:rsid w:val="002803F0"/>
    <w:rsid w:val="00310EE4"/>
    <w:rsid w:val="00362730"/>
    <w:rsid w:val="003D4AAE"/>
    <w:rsid w:val="006327D3"/>
    <w:rsid w:val="00663F46"/>
    <w:rsid w:val="006D2C97"/>
    <w:rsid w:val="006E1757"/>
    <w:rsid w:val="006F481A"/>
    <w:rsid w:val="008074FC"/>
    <w:rsid w:val="009609C5"/>
    <w:rsid w:val="00970851"/>
    <w:rsid w:val="00B15A10"/>
    <w:rsid w:val="00B578C9"/>
    <w:rsid w:val="00B70A1C"/>
    <w:rsid w:val="00B86194"/>
    <w:rsid w:val="00C13D3B"/>
    <w:rsid w:val="00CA3890"/>
    <w:rsid w:val="00CE147F"/>
    <w:rsid w:val="00DE6D52"/>
    <w:rsid w:val="00E01131"/>
    <w:rsid w:val="00ED3037"/>
    <w:rsid w:val="00F17134"/>
    <w:rsid w:val="00F42F08"/>
    <w:rsid w:val="00FD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40BA"/>
  <w15:docId w15:val="{EC80169A-FA04-438A-A018-68A9D27EC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Zkladntext"/>
    <w:uiPriority w:val="9"/>
    <w:qFormat/>
    <w:pPr>
      <w:numPr>
        <w:numId w:val="1"/>
      </w:numPr>
      <w:outlineLvl w:val="0"/>
    </w:pPr>
    <w:rPr>
      <w:b/>
      <w:sz w:val="48"/>
      <w:szCs w:val="36"/>
    </w:rPr>
  </w:style>
  <w:style w:type="paragraph" w:styleId="Nadpis2">
    <w:name w:val="heading 2"/>
    <w:basedOn w:val="Heading"/>
    <w:next w:val="Zkladntext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sz w:val="44"/>
      <w:szCs w:val="32"/>
    </w:rPr>
  </w:style>
  <w:style w:type="paragraph" w:styleId="Nadpis3">
    <w:name w:val="heading 3"/>
    <w:basedOn w:val="Heading"/>
    <w:next w:val="Zkladntext"/>
    <w:uiPriority w:val="9"/>
    <w:unhideWhenUsed/>
    <w:qFormat/>
    <w:pPr>
      <w:numPr>
        <w:ilvl w:val="2"/>
        <w:numId w:val="1"/>
      </w:numPr>
      <w:spacing w:before="140"/>
      <w:outlineLvl w:val="2"/>
    </w:pPr>
    <w:rPr>
      <w:b/>
      <w:sz w:val="40"/>
    </w:rPr>
  </w:style>
  <w:style w:type="paragraph" w:styleId="Nadpis4">
    <w:name w:val="heading 4"/>
    <w:basedOn w:val="Heading"/>
    <w:next w:val="Zkladntext"/>
    <w:uiPriority w:val="9"/>
    <w:unhideWhenUsed/>
    <w:qFormat/>
    <w:pPr>
      <w:numPr>
        <w:ilvl w:val="3"/>
        <w:numId w:val="1"/>
      </w:numPr>
      <w:spacing w:before="120"/>
      <w:outlineLvl w:val="3"/>
    </w:pPr>
    <w:rPr>
      <w:b/>
      <w:bCs/>
      <w:iCs/>
      <w:sz w:val="36"/>
      <w:szCs w:val="27"/>
    </w:rPr>
  </w:style>
  <w:style w:type="paragraph" w:styleId="Nadpis5">
    <w:name w:val="heading 5"/>
    <w:basedOn w:val="Heading"/>
    <w:next w:val="Zkladntext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sz w:val="32"/>
      <w:szCs w:val="24"/>
    </w:rPr>
  </w:style>
  <w:style w:type="paragraph" w:styleId="Nadpis6">
    <w:name w:val="heading 6"/>
    <w:basedOn w:val="Heading"/>
    <w:next w:val="Zkladntext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ListIndent">
    <w:name w:val="List Indent"/>
    <w:basedOn w:val="Zkladntext"/>
    <w:qFormat/>
    <w:pPr>
      <w:tabs>
        <w:tab w:val="left" w:pos="2835"/>
      </w:tabs>
      <w:spacing w:after="144"/>
      <w:ind w:left="2835" w:hanging="2551"/>
      <w:contextualSpacing/>
    </w:pPr>
  </w:style>
  <w:style w:type="paragraph" w:customStyle="1" w:styleId="HeaderandFooter">
    <w:name w:val="Header and Footer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styleId="Hlavikarejstku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  <w:qFormat/>
  </w:style>
  <w:style w:type="paragraph" w:styleId="Obsah1">
    <w:name w:val="toc 1"/>
    <w:basedOn w:val="Index"/>
    <w:pPr>
      <w:tabs>
        <w:tab w:val="right" w:leader="dot" w:pos="9638"/>
      </w:tabs>
    </w:pPr>
  </w:style>
  <w:style w:type="paragraph" w:styleId="Obsah2">
    <w:name w:val="toc 2"/>
    <w:basedOn w:val="Index"/>
    <w:uiPriority w:val="39"/>
    <w:pPr>
      <w:tabs>
        <w:tab w:val="right" w:leader="dot" w:pos="9638"/>
      </w:tabs>
      <w:ind w:left="283"/>
    </w:pPr>
  </w:style>
  <w:style w:type="paragraph" w:styleId="Obsah3">
    <w:name w:val="toc 3"/>
    <w:basedOn w:val="Index"/>
    <w:uiPriority w:val="39"/>
    <w:pPr>
      <w:tabs>
        <w:tab w:val="right" w:leader="dot" w:pos="9638"/>
      </w:tabs>
      <w:ind w:left="566"/>
    </w:pPr>
  </w:style>
  <w:style w:type="paragraph" w:styleId="Obsah4">
    <w:name w:val="toc 4"/>
    <w:basedOn w:val="Index"/>
    <w:uiPriority w:val="39"/>
    <w:pPr>
      <w:tabs>
        <w:tab w:val="right" w:leader="dot" w:pos="9638"/>
      </w:tabs>
      <w:ind w:left="849"/>
    </w:pPr>
  </w:style>
  <w:style w:type="paragraph" w:styleId="Obsah5">
    <w:name w:val="toc 5"/>
    <w:basedOn w:val="Index"/>
    <w:pPr>
      <w:tabs>
        <w:tab w:val="right" w:leader="dot" w:pos="9638"/>
      </w:tabs>
      <w:ind w:left="1132"/>
    </w:pPr>
  </w:style>
  <w:style w:type="paragraph" w:styleId="Obsah6">
    <w:name w:val="toc 6"/>
    <w:basedOn w:val="Index"/>
    <w:pPr>
      <w:tabs>
        <w:tab w:val="right" w:leader="dot" w:pos="9638"/>
      </w:tabs>
      <w:ind w:left="1415"/>
    </w:pPr>
  </w:style>
  <w:style w:type="paragraph" w:styleId="Podnadpis">
    <w:name w:val="Subtitle"/>
    <w:basedOn w:val="Heading"/>
    <w:next w:val="Zkladntext"/>
    <w:uiPriority w:val="11"/>
    <w:qFormat/>
    <w:pPr>
      <w:spacing w:before="60"/>
      <w:jc w:val="center"/>
    </w:pPr>
    <w:rPr>
      <w:sz w:val="36"/>
      <w:szCs w:val="36"/>
    </w:rPr>
  </w:style>
  <w:style w:type="paragraph" w:styleId="Nzev">
    <w:name w:val="Title"/>
    <w:basedOn w:val="Heading"/>
    <w:next w:val="Zkladntext"/>
    <w:uiPriority w:val="10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HeaderandFooter"/>
  </w:style>
  <w:style w:type="character" w:styleId="Odkaznakoment">
    <w:name w:val="annotation reference"/>
    <w:basedOn w:val="Standardnpsmoodstavce"/>
    <w:uiPriority w:val="99"/>
    <w:semiHidden/>
    <w:unhideWhenUsed/>
    <w:rsid w:val="002803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03F0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03F0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03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03F0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03F0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3F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7</Pages>
  <Words>766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Požadavky na dokumentaci</vt:lpstr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na dokumentaci</dc:title>
  <dc:subject/>
  <dc:creator>Stanislav Hušek</dc:creator>
  <dc:description/>
  <cp:lastModifiedBy>Tomšů Dalibor</cp:lastModifiedBy>
  <cp:revision>125</cp:revision>
  <dcterms:created xsi:type="dcterms:W3CDTF">2023-02-22T16:20:00Z</dcterms:created>
  <dcterms:modified xsi:type="dcterms:W3CDTF">2024-02-17T12:39:00Z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vner">
    <vt:lpwstr>KSUSV</vt:lpwstr>
  </property>
  <property fmtid="{D5CDD505-2E9C-101B-9397-08002B2CF9AE}" pid="3" name="Priloha">
    <vt:r8>2</vt:r8>
  </property>
  <property fmtid="{D5CDD505-2E9C-101B-9397-08002B2CF9AE}" pid="4" name="Version">
    <vt:lpwstr>0.9</vt:lpwstr>
  </property>
</Properties>
</file>